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rFonts w:ascii="Arial" w:hAnsi="Arial" w:eastAsia="Microsoft YaHei"/>
          <w:b/>
          <w:color w:val="102A43"/>
          <w:sz w:val="54"/>
        </w:rPr>
        <w:t>食品微生物学实验综合报告</w:t>
      </w:r>
    </w:p>
    <w:p>
      <w:pPr>
        <w:spacing w:after="240"/>
      </w:pPr>
      <w:r>
        <w:rPr>
          <w:rFonts w:ascii="Arial" w:hAnsi="Arial" w:eastAsia="Microsoft YaHei"/>
          <w:b/>
          <w:color w:val="2563EB"/>
          <w:sz w:val="24"/>
        </w:rPr>
        <w:t>FOOD MICROBIOLOGY LAB · Integrated Validation Report</w:t>
      </w:r>
    </w:p>
    <w:p>
      <w:r>
        <w:rPr>
          <w:rFonts w:ascii="Arial" w:hAnsi="Arial" w:eastAsia="Microsoft YaHei"/>
          <w:b w:val="0"/>
          <w:color w:val="475569"/>
          <w:sz w:val="21"/>
        </w:rPr>
        <w:t>本演示文档模拟一份可复核的食品微生物检测报告，组合了多级标题、复杂表格、统计图、96 孔板热图、分页、页眉页脚与中英文内容，用于验证文档格式转换的完整性。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E2E8F0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475569"/>
                <w:sz w:val="17"/>
              </w:rPr>
              <w:t>样品批次</w:t>
            </w:r>
          </w:p>
        </w:tc>
        <w:tc>
          <w:tcPr>
            <w:tcW w:type="dxa" w:w="2409"/>
            <w:shd w:fill="E2E8F0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475569"/>
                <w:sz w:val="17"/>
              </w:rPr>
              <w:t>培养条件</w:t>
            </w:r>
          </w:p>
        </w:tc>
        <w:tc>
          <w:tcPr>
            <w:tcW w:type="dxa" w:w="2409"/>
            <w:shd w:fill="E2E8F0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475569"/>
                <w:sz w:val="17"/>
              </w:rPr>
              <w:t>24 h 抑制率</w:t>
            </w:r>
          </w:p>
        </w:tc>
        <w:tc>
          <w:tcPr>
            <w:tcW w:type="dxa" w:w="2409"/>
            <w:shd w:fill="E2E8F0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475569"/>
                <w:sz w:val="17"/>
              </w:rPr>
              <w:t>质控状态</w:t>
            </w:r>
          </w:p>
        </w:tc>
      </w:tr>
      <w:tr>
        <w:tc>
          <w:tcPr>
            <w:tcW w:type="dxa" w:w="2409"/>
            <w:shd w:fill="DBEAFE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F172A"/>
                <w:sz w:val="24"/>
              </w:rPr>
              <w:t>FM-2026-0724</w:t>
            </w:r>
          </w:p>
        </w:tc>
        <w:tc>
          <w:tcPr>
            <w:tcW w:type="dxa" w:w="2409"/>
            <w:shd w:fill="CCFBF1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F172A"/>
                <w:sz w:val="24"/>
              </w:rPr>
              <w:t>37 °C / 24 h</w:t>
            </w:r>
          </w:p>
        </w:tc>
        <w:tc>
          <w:tcPr>
            <w:tcW w:type="dxa" w:w="2409"/>
            <w:shd w:fill="FEF3C7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F172A"/>
                <w:sz w:val="24"/>
              </w:rPr>
              <w:t>99.71%</w:t>
            </w:r>
          </w:p>
        </w:tc>
        <w:tc>
          <w:tcPr>
            <w:tcW w:type="dxa" w:w="2409"/>
            <w:shd w:fill="DCFCE7"/>
            <w:vAlign w:val="center"/>
            <w:tcBorders>
              <w:top w:val="single" w:sz="5" w:color="CBD5E1"/>
              <w:bottom w:val="single" w:sz="5" w:color="CBD5E1"/>
              <w:left w:val="single" w:sz="5" w:color="CBD5E1"/>
              <w:right w:val="single" w:sz="5" w:color="CBD5E1"/>
            </w:tcBorders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F172A"/>
                <w:sz w:val="24"/>
              </w:rPr>
              <w:t>PASS</w:t>
            </w:r>
          </w:p>
        </w:tc>
      </w:tr>
    </w:tbl>
    <w:p>
      <w:pPr>
        <w:pStyle w:val="Heading1"/>
      </w:pPr>
      <w:r>
        <w:t>1  实验目标与设计 / Objectives &amp; Design</w:t>
      </w:r>
    </w:p>
    <w:p>
      <w:r>
        <w:rPr>
          <w:rFonts w:ascii="Arial" w:hAnsi="Arial" w:eastAsia="Microsoft YaHei"/>
          <w:b/>
          <w:color w:val="0F766E"/>
          <w:sz w:val="21"/>
        </w:rPr>
        <w:t>目标：</w:t>
      </w:r>
      <w:r>
        <w:rPr>
          <w:rFonts w:ascii="Arial" w:hAnsi="Arial" w:eastAsia="Microsoft YaHei"/>
          <w:b w:val="0"/>
          <w:color w:val="24324A"/>
          <w:sz w:val="21"/>
        </w:rPr>
        <w:t>比较处理组与对照组在 24 小时培养期内的微生物生长差异，并验证批次 FM-2026-0724 的抑菌效果。</w:t>
      </w:r>
    </w:p>
    <w:p>
      <w:pPr>
        <w:pStyle w:val="ListBullet"/>
      </w:pPr>
      <w:r>
        <w:rPr>
          <w:rFonts w:ascii="Arial" w:hAnsi="Arial" w:eastAsia="Microsoft YaHei"/>
          <w:b w:val="0"/>
          <w:color w:val="24324A"/>
          <w:sz w:val="21"/>
        </w:rPr>
        <w:t>设置对照组、处理组和空白质控，每组 3 个技术重复；</w:t>
      </w:r>
    </w:p>
    <w:p>
      <w:pPr>
        <w:pStyle w:val="ListBullet"/>
      </w:pPr>
      <w:r>
        <w:rPr>
          <w:rFonts w:ascii="Arial" w:hAnsi="Arial" w:eastAsia="Microsoft YaHei"/>
          <w:b w:val="0"/>
          <w:color w:val="24324A"/>
          <w:sz w:val="21"/>
        </w:rPr>
        <w:t>采用六级梯度稀释与选择性培养，记录菌落数和异常形态；</w:t>
      </w:r>
    </w:p>
    <w:p>
      <w:pPr>
        <w:pStyle w:val="ListBullet"/>
      </w:pPr>
      <w:r>
        <w:rPr>
          <w:rFonts w:ascii="Arial" w:hAnsi="Arial" w:eastAsia="Microsoft YaHei"/>
          <w:b w:val="0"/>
          <w:color w:val="24324A"/>
          <w:sz w:val="21"/>
        </w:rPr>
        <w:t>以 log CFU/mL、24 h 降低值和相对荧光作为主要评价指标；</w:t>
      </w:r>
    </w:p>
    <w:p>
      <w:pPr>
        <w:pStyle w:val="ListBullet"/>
      </w:pPr>
      <w:r>
        <w:rPr>
          <w:rFonts w:ascii="Arial" w:hAnsi="Arial" w:eastAsia="Microsoft YaHei"/>
          <w:b w:val="0"/>
          <w:color w:val="24324A"/>
          <w:sz w:val="21"/>
        </w:rPr>
        <w:t>执行原始记录、仪器导出和人工复核三方一致性检查。</w:t>
      </w:r>
    </w:p>
    <w:p>
      <w:pPr>
        <w:pStyle w:val="Heading1"/>
      </w:pPr>
      <w:r>
        <w:t>2  操作流程与质量控制 / Workflow &amp; QC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1E3A5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8"/>
              </w:rPr>
              <w:t>步骤</w:t>
            </w:r>
          </w:p>
        </w:tc>
        <w:tc>
          <w:tcPr>
            <w:tcW w:type="dxa" w:w="1928"/>
            <w:shd w:fill="1E3A5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1928"/>
            <w:shd w:fill="1E3A5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8"/>
              </w:rPr>
              <w:t>关键操作</w:t>
            </w:r>
          </w:p>
        </w:tc>
        <w:tc>
          <w:tcPr>
            <w:tcW w:type="dxa" w:w="1928"/>
            <w:shd w:fill="1E3A5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8"/>
              </w:rPr>
              <w:t>预计时间</w:t>
            </w:r>
          </w:p>
        </w:tc>
        <w:tc>
          <w:tcPr>
            <w:tcW w:type="dxa" w:w="1928"/>
            <w:shd w:fill="1E3A5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8"/>
              </w:rPr>
              <w:t>状态</w:t>
            </w: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01</w:t>
            </w:r>
          </w:p>
        </w:tc>
        <w:tc>
          <w:tcPr>
            <w:tcW w:type="dxa" w:w="1928"/>
          </w:tcPr>
          <w:p>
            <w:pPr>
              <w:jc w:val="left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样品接收 / Intake</w:t>
            </w:r>
          </w:p>
        </w:tc>
        <w:tc>
          <w:tcPr>
            <w:tcW w:type="dxa" w:w="1928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核对编号、温度、封签与采样时间</w:t>
            </w:r>
          </w:p>
        </w:tc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≤ 10 min</w:t>
            </w:r>
          </w:p>
        </w:tc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47857"/>
                <w:sz w:val="17"/>
              </w:rPr>
              <w:t>完成</w:t>
            </w:r>
          </w:p>
        </w:tc>
      </w:tr>
      <w:tr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02</w:t>
            </w:r>
          </w:p>
        </w:tc>
        <w:tc>
          <w:tcPr>
            <w:tcW w:type="dxa" w:w="1928"/>
            <w:shd w:fill="F8FAFC"/>
          </w:tcPr>
          <w:p>
            <w:pPr>
              <w:jc w:val="left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梯度稀释 / Dilution</w:t>
            </w:r>
          </w:p>
        </w:tc>
        <w:tc>
          <w:tcPr>
            <w:tcW w:type="dxa" w:w="1928"/>
            <w:shd w:fill="F8FAFC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无菌条件下完成 10⁻¹–10⁻⁶ 六级稀释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18 min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47857"/>
                <w:sz w:val="17"/>
              </w:rPr>
              <w:t>完成</w:t>
            </w: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03</w:t>
            </w:r>
          </w:p>
        </w:tc>
        <w:tc>
          <w:tcPr>
            <w:tcW w:type="dxa" w:w="1928"/>
          </w:tcPr>
          <w:p>
            <w:pPr>
              <w:jc w:val="left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选择性培养 / Culture</w:t>
            </w:r>
          </w:p>
        </w:tc>
        <w:tc>
          <w:tcPr>
            <w:tcW w:type="dxa" w:w="1928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双平板接种，37 °C 培养并设置空白对照</w:t>
            </w:r>
          </w:p>
        </w:tc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24 h</w:t>
            </w:r>
          </w:p>
        </w:tc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47857"/>
                <w:sz w:val="17"/>
              </w:rPr>
              <w:t>完成</w:t>
            </w:r>
          </w:p>
        </w:tc>
      </w:tr>
      <w:tr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04</w:t>
            </w:r>
          </w:p>
        </w:tc>
        <w:tc>
          <w:tcPr>
            <w:tcW w:type="dxa" w:w="1928"/>
            <w:shd w:fill="F8FAFC"/>
          </w:tcPr>
          <w:p>
            <w:pPr>
              <w:jc w:val="left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菌落计数 / Counting</w:t>
            </w:r>
          </w:p>
        </w:tc>
        <w:tc>
          <w:tcPr>
            <w:tcW w:type="dxa" w:w="1928"/>
            <w:shd w:fill="F8FAFC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自动计数后人工复核异常簇与边缘菌落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22 min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47857"/>
                <w:sz w:val="17"/>
              </w:rPr>
              <w:t>完成</w:t>
            </w:r>
          </w:p>
        </w:tc>
      </w:tr>
      <w:tr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05</w:t>
            </w:r>
          </w:p>
        </w:tc>
        <w:tc>
          <w:tcPr>
            <w:tcW w:type="dxa" w:w="1928"/>
          </w:tcPr>
          <w:p>
            <w:pPr>
              <w:jc w:val="left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结果复核 / Review</w:t>
            </w:r>
          </w:p>
        </w:tc>
        <w:tc>
          <w:tcPr>
            <w:tcW w:type="dxa" w:w="1928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计算 CFU、偏差、抑制率并执行双人签核</w:t>
            </w:r>
          </w:p>
        </w:tc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15 min</w:t>
            </w:r>
          </w:p>
        </w:tc>
        <w:tc>
          <w:tcPr>
            <w:tcW w:type="dxa" w:w="1928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47857"/>
                <w:sz w:val="17"/>
              </w:rPr>
              <w:t>完成</w:t>
            </w:r>
          </w:p>
        </w:tc>
      </w:tr>
    </w:tbl>
    <w:p>
      <w:pPr>
        <w:spacing w:before="140"/>
      </w:pPr>
      <w:r>
        <w:rPr>
          <w:rFonts w:ascii="Arial" w:hAnsi="Arial" w:eastAsia="Microsoft YaHei"/>
          <w:b/>
          <w:color w:val="C2410C"/>
          <w:sz w:val="21"/>
        </w:rPr>
        <w:t>质量控制提示：</w:t>
      </w:r>
      <w:r>
        <w:rPr>
          <w:rFonts w:ascii="Arial" w:hAnsi="Arial" w:eastAsia="Microsoft YaHei"/>
          <w:b w:val="0"/>
          <w:color w:val="24324A"/>
          <w:sz w:val="21"/>
        </w:rPr>
        <w:t>所有关键移液步骤均需更换枪头；培养箱温度允许偏差为 ±0.5 °C；异常菌落必须在原始图像中标注。</w:t>
      </w:r>
    </w:p>
    <w:p>
      <w:r>
        <w:br w:type="page"/>
      </w:r>
    </w:p>
    <w:p>
      <w:pPr>
        <w:pStyle w:val="Heading1"/>
      </w:pPr>
      <w:r>
        <w:t>3  动态生长结果 / Growth Dynamics</w:t>
      </w:r>
    </w:p>
    <w:p>
      <w:r>
        <w:rPr>
          <w:rFonts w:ascii="Arial" w:hAnsi="Arial" w:eastAsia="Microsoft YaHei"/>
          <w:b w:val="0"/>
          <w:color w:val="24324A"/>
          <w:sz w:val="21"/>
        </w:rPr>
        <w:t xml:space="preserve">图 1 展示两组样品的生长曲线与不确定度区间。处理组在 8 小时后与对照组明显分离，24 小时时降低 </w:t>
      </w:r>
      <w:r>
        <w:rPr>
          <w:rFonts w:ascii="Arial" w:hAnsi="Arial" w:eastAsia="Microsoft YaHei"/>
          <w:b/>
          <w:color w:val="0F766E"/>
          <w:sz w:val="21"/>
        </w:rPr>
        <w:t>2.54 log CFU/mL</w:t>
      </w:r>
      <w:r>
        <w:rPr>
          <w:rFonts w:ascii="Arial" w:hAnsi="Arial" w:eastAsia="Microsoft YaHei"/>
          <w:b w:val="0"/>
          <w:color w:val="24324A"/>
          <w:sz w:val="21"/>
        </w:rPr>
        <w:t>，达到预设有效性标准（≥2.00 log）。</w:t>
      </w:r>
    </w:p>
    <w:p>
      <w:r>
        <w:drawing>
          <wp:inline xmlns:a="http://schemas.openxmlformats.org/drawingml/2006/main" xmlns:pic="http://schemas.openxmlformats.org/drawingml/2006/picture">
            <wp:extent cx="5989320" cy="27344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owth-curv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7344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" w:hAnsi="Arial" w:eastAsia="Microsoft YaHei"/>
          <w:b w:val="0"/>
          <w:color w:val="64748B"/>
          <w:sz w:val="17"/>
        </w:rPr>
        <w:t>图 1  生长曲线、95% 技术重复区间与预警阈值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fill="0F766E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时间 / h</w:t>
            </w:r>
          </w:p>
        </w:tc>
        <w:tc>
          <w:tcPr>
            <w:tcW w:type="dxa" w:w="1928"/>
            <w:shd w:fill="0F766E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对照 log CFU/mL</w:t>
            </w:r>
          </w:p>
        </w:tc>
        <w:tc>
          <w:tcPr>
            <w:tcW w:type="dxa" w:w="1928"/>
            <w:shd w:fill="0F766E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处理组 log CFU/mL</w:t>
            </w:r>
          </w:p>
        </w:tc>
        <w:tc>
          <w:tcPr>
            <w:tcW w:type="dxa" w:w="1928"/>
            <w:shd w:fill="0F766E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降低值</w:t>
            </w:r>
          </w:p>
        </w:tc>
        <w:tc>
          <w:tcPr>
            <w:tcW w:type="dxa" w:w="1928"/>
            <w:shd w:fill="0F766E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阶段判定</w:t>
            </w:r>
          </w:p>
        </w:tc>
      </w:tr>
      <w:tr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0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2.05 ± 0.10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2.01 ± 0.10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0.04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Baseline</w:t>
            </w:r>
          </w:p>
        </w:tc>
      </w:tr>
      <w:tr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4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2.56 ± 0.12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2.23 ± 0.12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0.33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Lag phase</w:t>
            </w:r>
          </w:p>
        </w:tc>
      </w:tr>
      <w:tr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8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4.07 ± 0.16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3.02 ± 0.16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1.05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Divergence</w:t>
            </w:r>
          </w:p>
        </w:tc>
      </w:tr>
      <w:tr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12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5.42 ± 0.15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3.58 ± 0.15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1.84</w:t>
            </w:r>
          </w:p>
        </w:tc>
        <w:tc>
          <w:tcPr>
            <w:tcW w:type="dxa" w:w="1928"/>
            <w:shd w:fill="F8FAFC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Effective</w:t>
            </w:r>
          </w:p>
        </w:tc>
      </w:tr>
      <w:tr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20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6.56 ± 0.12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4.13 ± 0.12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2.43</w:t>
            </w:r>
          </w:p>
        </w:tc>
        <w:tc>
          <w:tcPr>
            <w:tcW w:type="dxa" w:w="1928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Stable</w:t>
            </w:r>
          </w:p>
        </w:tc>
      </w:tr>
      <w:tr>
        <w:tc>
          <w:tcPr>
            <w:tcW w:type="dxa" w:w="1928"/>
            <w:shd w:fill="F0FDFA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24</w:t>
            </w:r>
          </w:p>
        </w:tc>
        <w:tc>
          <w:tcPr>
            <w:tcW w:type="dxa" w:w="1928"/>
            <w:shd w:fill="F0FDFA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6.78 ± 0.11</w:t>
            </w:r>
          </w:p>
        </w:tc>
        <w:tc>
          <w:tcPr>
            <w:tcW w:type="dxa" w:w="1928"/>
            <w:shd w:fill="F0FDFA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4.24 ± 0.11</w:t>
            </w:r>
          </w:p>
        </w:tc>
        <w:tc>
          <w:tcPr>
            <w:tcW w:type="dxa" w:w="1928"/>
            <w:shd w:fill="F0FDFA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2.54</w:t>
            </w:r>
          </w:p>
        </w:tc>
        <w:tc>
          <w:tcPr>
            <w:tcW w:type="dxa" w:w="1928"/>
            <w:shd w:fill="F0FDFA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Endpoint</w:t>
            </w:r>
          </w:p>
        </w:tc>
      </w:tr>
    </w:tbl>
    <w:p>
      <w:pPr>
        <w:pStyle w:val="Heading1"/>
      </w:pPr>
      <w:r>
        <w:t>4  96 孔筛选结果 / Screening Map</w:t>
      </w:r>
    </w:p>
    <w:p>
      <w:r>
        <w:drawing>
          <wp:inline xmlns:a="http://schemas.openxmlformats.org/drawingml/2006/main" xmlns:pic="http://schemas.openxmlformats.org/drawingml/2006/picture">
            <wp:extent cx="5989320" cy="250851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te-map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5085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" w:hAnsi="Arial" w:eastAsia="Microsoft YaHei"/>
          <w:b w:val="0"/>
          <w:color w:val="64748B"/>
          <w:sz w:val="17"/>
        </w:rPr>
        <w:t>图 2  96 孔板归一化荧光热图；G–H 行为空白与阴性对照</w:t>
      </w:r>
    </w:p>
    <w:p>
      <w:r>
        <w:br w:type="page"/>
      </w:r>
    </w:p>
    <w:p>
      <w:pPr>
        <w:pStyle w:val="Heading1"/>
      </w:pPr>
      <w:r>
        <w:t>5  偏差、风险与处置 / Deviations &amp; 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7C3AED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风险项</w:t>
            </w:r>
          </w:p>
        </w:tc>
        <w:tc>
          <w:tcPr>
            <w:tcW w:type="dxa" w:w="2409"/>
            <w:shd w:fill="7C3AED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证据</w:t>
            </w:r>
          </w:p>
        </w:tc>
        <w:tc>
          <w:tcPr>
            <w:tcW w:type="dxa" w:w="2409"/>
            <w:shd w:fill="7C3AED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等级</w:t>
            </w:r>
          </w:p>
        </w:tc>
        <w:tc>
          <w:tcPr>
            <w:tcW w:type="dxa" w:w="2409"/>
            <w:shd w:fill="7C3AED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FFFFFF"/>
                <w:sz w:val="17"/>
              </w:rPr>
              <w:t>处置</w:t>
            </w:r>
          </w:p>
        </w:tc>
      </w:tr>
      <w:tr>
        <w:tc>
          <w:tcPr>
            <w:tcW w:type="dxa" w:w="2409"/>
            <w:shd w:fill="FFFF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培养温度漂移</w:t>
            </w:r>
          </w:p>
        </w:tc>
        <w:tc>
          <w:tcPr>
            <w:tcW w:type="dxa" w:w="2409"/>
            <w:shd w:fill="FFFF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最大偏差 +0.2 °C</w:t>
            </w:r>
          </w:p>
        </w:tc>
        <w:tc>
          <w:tcPr>
            <w:tcW w:type="dxa" w:w="2409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低</w:t>
            </w:r>
          </w:p>
        </w:tc>
        <w:tc>
          <w:tcPr>
            <w:tcW w:type="dxa" w:w="2409"/>
            <w:shd w:fill="FFFF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无需纠偏，保留趋势记录</w:t>
            </w:r>
          </w:p>
        </w:tc>
      </w:tr>
      <w:tr>
        <w:tc>
          <w:tcPr>
            <w:tcW w:type="dxa" w:w="2409"/>
            <w:shd w:fill="FAF5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边缘孔蒸发</w:t>
            </w:r>
          </w:p>
        </w:tc>
        <w:tc>
          <w:tcPr>
            <w:tcW w:type="dxa" w:w="2409"/>
            <w:shd w:fill="FAF5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A12 / B12 信号偏高 4.1%</w:t>
            </w:r>
          </w:p>
        </w:tc>
        <w:tc>
          <w:tcPr>
            <w:tcW w:type="dxa" w:w="2409"/>
            <w:shd w:fill="FAF5F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B45309"/>
                <w:sz w:val="17"/>
              </w:rPr>
              <w:t>中</w:t>
            </w:r>
          </w:p>
        </w:tc>
        <w:tc>
          <w:tcPr>
            <w:tcW w:type="dxa" w:w="2409"/>
            <w:shd w:fill="FAF5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复核并采用中位数校正</w:t>
            </w:r>
          </w:p>
        </w:tc>
      </w:tr>
      <w:tr>
        <w:tc>
          <w:tcPr>
            <w:tcW w:type="dxa" w:w="2409"/>
            <w:shd w:fill="FFFF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菌落簇重叠</w:t>
            </w:r>
          </w:p>
        </w:tc>
        <w:tc>
          <w:tcPr>
            <w:tcW w:type="dxa" w:w="2409"/>
            <w:shd w:fill="FFFF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处理组 2 个平板需人工复核</w:t>
            </w:r>
          </w:p>
        </w:tc>
        <w:tc>
          <w:tcPr>
            <w:tcW w:type="dxa" w:w="2409"/>
            <w:shd w:fill="FFFFF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B45309"/>
                <w:sz w:val="17"/>
              </w:rPr>
              <w:t>中</w:t>
            </w:r>
          </w:p>
        </w:tc>
        <w:tc>
          <w:tcPr>
            <w:tcW w:type="dxa" w:w="2409"/>
            <w:shd w:fill="FFFF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双人独立计数，差异 &lt;3%</w:t>
            </w:r>
          </w:p>
        </w:tc>
      </w:tr>
      <w:tr>
        <w:tc>
          <w:tcPr>
            <w:tcW w:type="dxa" w:w="2409"/>
            <w:shd w:fill="FAF5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空白污染</w:t>
            </w:r>
          </w:p>
        </w:tc>
        <w:tc>
          <w:tcPr>
            <w:tcW w:type="dxa" w:w="2409"/>
            <w:shd w:fill="FAF5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空白对照均未检出</w:t>
            </w:r>
          </w:p>
        </w:tc>
        <w:tc>
          <w:tcPr>
            <w:tcW w:type="dxa" w:w="2409"/>
            <w:shd w:fill="FAF5FF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低</w:t>
            </w:r>
          </w:p>
        </w:tc>
        <w:tc>
          <w:tcPr>
            <w:tcW w:type="dxa" w:w="2409"/>
            <w:shd w:fill="FAF5FF"/>
          </w:tcPr>
          <w:p>
            <w:pPr>
              <w:jc w:val="left"/>
            </w:pPr>
            <w:r>
              <w:rPr>
                <w:rFonts w:ascii="Arial" w:hAnsi="Arial" w:eastAsia="Microsoft YaHei"/>
                <w:b w:val="0"/>
                <w:color w:val="24324A"/>
                <w:sz w:val="17"/>
              </w:rPr>
              <w:t>批次质控通过</w:t>
            </w:r>
          </w:p>
        </w:tc>
      </w:tr>
    </w:tbl>
    <w:p>
      <w:pPr>
        <w:pStyle w:val="Heading1"/>
      </w:pPr>
      <w:r>
        <w:t>6  结论与审核 / Conclusion &amp; Approval</w:t>
      </w:r>
    </w:p>
    <w:p>
      <w:r>
        <w:rPr>
          <w:rFonts w:ascii="Arial" w:hAnsi="Arial" w:eastAsia="Microsoft YaHei"/>
          <w:b/>
          <w:color w:val="0F766E"/>
          <w:sz w:val="21"/>
        </w:rPr>
        <w:t>结论：</w:t>
      </w:r>
      <w:r>
        <w:rPr>
          <w:rFonts w:ascii="Arial" w:hAnsi="Arial" w:eastAsia="Microsoft YaHei"/>
          <w:b w:val="0"/>
          <w:color w:val="24324A"/>
          <w:sz w:val="21"/>
        </w:rPr>
        <w:t>处理组在 24 小时时实现 2.54 log CFU/mL 的降低，96 孔筛选和培养计数趋势一致；所有质控项满足接受标准，本批次判定为有效。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E2E8F0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角色</w:t>
            </w:r>
          </w:p>
        </w:tc>
        <w:tc>
          <w:tcPr>
            <w:tcW w:type="dxa" w:w="3213"/>
            <w:shd w:fill="E2E8F0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签核状态</w:t>
            </w:r>
          </w:p>
        </w:tc>
        <w:tc>
          <w:tcPr>
            <w:tcW w:type="dxa" w:w="3213"/>
            <w:shd w:fill="E2E8F0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24324A"/>
                <w:sz w:val="17"/>
              </w:rPr>
              <w:t>日期</w:t>
            </w:r>
          </w:p>
        </w:tc>
      </w:tr>
      <w:tr>
        <w:tc>
          <w:tcPr>
            <w:tcW w:type="dxa" w:w="3213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8"/>
              </w:rPr>
              <w:t>实验复核人 / QC Reviewer</w:t>
            </w:r>
          </w:p>
        </w:tc>
        <w:tc>
          <w:tcPr>
            <w:tcW w:type="dxa" w:w="3213"/>
          </w:tcPr>
          <w:p>
            <w:pPr>
              <w:jc w:val="center"/>
            </w:pPr>
            <w:r>
              <w:rPr>
                <w:rFonts w:ascii="Arial" w:hAnsi="Arial" w:eastAsia="Microsoft YaHei"/>
                <w:b/>
                <w:color w:val="047857"/>
                <w:sz w:val="18"/>
              </w:rPr>
              <w:t>电子签核完成 / APPROVED</w:t>
            </w:r>
          </w:p>
        </w:tc>
        <w:tc>
          <w:tcPr>
            <w:tcW w:type="dxa" w:w="3213"/>
          </w:tcPr>
          <w:p>
            <w:pPr>
              <w:jc w:val="center"/>
            </w:pPr>
            <w:r>
              <w:rPr>
                <w:rFonts w:ascii="Arial" w:hAnsi="Arial" w:eastAsia="Microsoft YaHei"/>
                <w:b w:val="0"/>
                <w:color w:val="24324A"/>
                <w:sz w:val="18"/>
              </w:rPr>
              <w:t>2026-07-24</w:t>
            </w:r>
          </w:p>
        </w:tc>
      </w:tr>
    </w:tbl>
    <w:p/>
    <w:p>
      <w:pPr>
        <w:jc w:val="center"/>
      </w:pPr>
      <w:r>
        <w:rPr>
          <w:rFonts w:ascii="Arial" w:hAnsi="Arial" w:eastAsia="Microsoft YaHei"/>
          <w:b/>
          <w:color w:val="94A3B8"/>
          <w:sz w:val="17"/>
        </w:rPr>
        <w:t>— END OF DEMONSTRATION REPORT —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Microsoft YaHei"/>
        <w:b w:val="0"/>
        <w:color w:val="64748B"/>
        <w:sz w:val="16"/>
      </w:rPr>
      <w:t>教学演示文件 · Generated for format-conversion validation · 2026-07-24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Microsoft YaHei"/>
        <w:b/>
        <w:color w:val="64748B"/>
        <w:sz w:val="17"/>
      </w:rPr>
      <w:t>百晓智慧工具  |  FOOD MICROBIOLOGY LAB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93" w:lineRule="auto"/>
    </w:pPr>
    <w:rPr>
      <w:rFonts w:ascii="Arial" w:hAnsi="Arial" w:eastAsia="Microsoft YaHei"/>
      <w:color w:val="24324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Microsoft YaHei"/>
      <w:b/>
      <w:bCs/>
      <w:color w:val="144E75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Microsoft YaHei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Microsoft YaHei"/>
      <w:b/>
      <w:color w:val="102A43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食品微生物学实验综合报告</dc:title>
  <dc:subject>Complex document-conversion demo</dc:subject>
  <dc:creator>百晓智慧工具</dc:creator>
  <cp:keywords>food microbiology, laboratory, CFU, quality control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